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B50F" w14:textId="77777777" w:rsidR="00C27B23" w:rsidRPr="0041405A" w:rsidRDefault="0048249A">
      <w:pPr>
        <w:pStyle w:val="Titolo"/>
        <w:pageBreakBefore/>
        <w:rPr>
          <w:rFonts w:ascii="Titillium" w:hAnsi="Titillium"/>
          <w:sz w:val="20"/>
          <w:szCs w:val="20"/>
        </w:rPr>
      </w:pPr>
      <w:r w:rsidRPr="0041405A">
        <w:rPr>
          <w:rFonts w:ascii="Titillium" w:hAnsi="Titillium"/>
          <w:sz w:val="20"/>
          <w:szCs w:val="20"/>
        </w:rPr>
        <w:t xml:space="preserve">Scheda di sintesi sulla rilevazione degli OIV o </w:t>
      </w:r>
      <w:r w:rsidR="009A5646" w:rsidRPr="0041405A">
        <w:rPr>
          <w:rFonts w:ascii="Titillium" w:hAnsi="Titillium"/>
          <w:sz w:val="20"/>
          <w:szCs w:val="20"/>
        </w:rPr>
        <w:t>organismi con funzioni analoghe</w:t>
      </w:r>
    </w:p>
    <w:p w14:paraId="22CCD50C" w14:textId="77777777" w:rsidR="00C27B23" w:rsidRPr="0041405A" w:rsidRDefault="00C27B23">
      <w:pPr>
        <w:pStyle w:val="Paragrafoelenco"/>
        <w:ind w:left="0" w:firstLine="0"/>
        <w:rPr>
          <w:rFonts w:ascii="Titillium" w:hAnsi="Titillium"/>
          <w:sz w:val="20"/>
          <w:szCs w:val="20"/>
        </w:rPr>
      </w:pPr>
    </w:p>
    <w:p w14:paraId="2715E39C" w14:textId="77777777" w:rsidR="00C27B23" w:rsidRPr="0041405A" w:rsidRDefault="0048249A">
      <w:pPr>
        <w:pStyle w:val="Paragrafoelenco"/>
        <w:spacing w:line="360" w:lineRule="auto"/>
        <w:ind w:left="0" w:firstLine="0"/>
        <w:rPr>
          <w:rFonts w:ascii="Titillium" w:hAnsi="Titillium"/>
          <w:b/>
          <w:i/>
          <w:sz w:val="20"/>
          <w:szCs w:val="20"/>
        </w:rPr>
      </w:pPr>
      <w:r w:rsidRPr="0041405A">
        <w:rPr>
          <w:rFonts w:ascii="Titillium" w:hAnsi="Titillium"/>
          <w:b/>
          <w:i/>
          <w:sz w:val="20"/>
          <w:szCs w:val="20"/>
        </w:rPr>
        <w:t>Data di svolgimento della rilevazione</w:t>
      </w:r>
    </w:p>
    <w:p w14:paraId="48B0B620" w14:textId="4AE0E104" w:rsidR="00801748" w:rsidRPr="00BF0C68" w:rsidRDefault="00801748" w:rsidP="00801748">
      <w:pPr>
        <w:pStyle w:val="Paragrafoelenco"/>
        <w:spacing w:after="0" w:line="276" w:lineRule="auto"/>
        <w:ind w:left="0" w:firstLine="0"/>
        <w:rPr>
          <w:rFonts w:ascii="Titillium" w:hAnsi="Titillium"/>
          <w:sz w:val="20"/>
          <w:szCs w:val="20"/>
        </w:rPr>
      </w:pPr>
      <w:r w:rsidRPr="00BF0C68">
        <w:rPr>
          <w:rFonts w:ascii="Titillium" w:hAnsi="Titillium"/>
          <w:sz w:val="20"/>
          <w:szCs w:val="20"/>
        </w:rPr>
        <w:t xml:space="preserve">Data di svolgimento della rilevazione </w:t>
      </w:r>
      <w:r w:rsidR="00914EDB">
        <w:rPr>
          <w:rFonts w:ascii="Titillium" w:hAnsi="Titillium"/>
          <w:sz w:val="20"/>
          <w:szCs w:val="20"/>
        </w:rPr>
        <w:t>29</w:t>
      </w:r>
      <w:r w:rsidRPr="0076262F">
        <w:rPr>
          <w:rFonts w:ascii="Titillium" w:hAnsi="Titillium"/>
          <w:sz w:val="20"/>
          <w:szCs w:val="20"/>
        </w:rPr>
        <w:t>/06/202</w:t>
      </w:r>
      <w:r w:rsidR="0076262F" w:rsidRPr="0076262F">
        <w:rPr>
          <w:rFonts w:ascii="Titillium" w:hAnsi="Titillium"/>
          <w:sz w:val="20"/>
          <w:szCs w:val="20"/>
        </w:rPr>
        <w:t>2</w:t>
      </w:r>
    </w:p>
    <w:p w14:paraId="3E47CCA5" w14:textId="21190BA4" w:rsidR="00801748" w:rsidRPr="00BF0C68" w:rsidRDefault="00801748" w:rsidP="00801748">
      <w:pPr>
        <w:pStyle w:val="Paragrafoelenco"/>
        <w:spacing w:after="0" w:line="276" w:lineRule="auto"/>
        <w:ind w:left="0" w:firstLine="0"/>
        <w:rPr>
          <w:rFonts w:ascii="Titillium" w:hAnsi="Titillium"/>
          <w:sz w:val="20"/>
          <w:szCs w:val="20"/>
        </w:rPr>
      </w:pPr>
      <w:r w:rsidRPr="00BF0C68">
        <w:rPr>
          <w:rFonts w:ascii="Titillium" w:hAnsi="Titillium"/>
          <w:sz w:val="20"/>
          <w:szCs w:val="20"/>
        </w:rPr>
        <w:t xml:space="preserve">Data di inizio della rilevazione   </w:t>
      </w:r>
      <w:r w:rsidR="00914EDB">
        <w:rPr>
          <w:rFonts w:ascii="Titillium" w:hAnsi="Titillium"/>
          <w:sz w:val="20"/>
          <w:szCs w:val="20"/>
        </w:rPr>
        <w:t>29</w:t>
      </w:r>
      <w:r w:rsidR="0076262F" w:rsidRPr="0076262F">
        <w:rPr>
          <w:rFonts w:ascii="Titillium" w:hAnsi="Titillium"/>
          <w:sz w:val="20"/>
          <w:szCs w:val="20"/>
        </w:rPr>
        <w:t>/06/2022</w:t>
      </w:r>
    </w:p>
    <w:p w14:paraId="63829E05" w14:textId="08B0E880" w:rsidR="00801748" w:rsidRDefault="00801748" w:rsidP="00801748">
      <w:pPr>
        <w:pStyle w:val="Paragrafoelenco"/>
        <w:spacing w:after="0" w:line="276" w:lineRule="auto"/>
        <w:ind w:left="0" w:firstLine="0"/>
        <w:rPr>
          <w:rFonts w:ascii="Titillium" w:hAnsi="Titillium"/>
          <w:sz w:val="20"/>
          <w:szCs w:val="20"/>
        </w:rPr>
      </w:pPr>
      <w:r w:rsidRPr="00BF0C68">
        <w:rPr>
          <w:rFonts w:ascii="Titillium" w:hAnsi="Titillium"/>
          <w:sz w:val="20"/>
          <w:szCs w:val="20"/>
        </w:rPr>
        <w:t xml:space="preserve">Data di fine della rilevazione </w:t>
      </w:r>
      <w:r w:rsidR="00914EDB">
        <w:rPr>
          <w:rFonts w:ascii="Titillium" w:hAnsi="Titillium"/>
          <w:sz w:val="20"/>
          <w:szCs w:val="20"/>
        </w:rPr>
        <w:t>29</w:t>
      </w:r>
      <w:r w:rsidR="0076262F" w:rsidRPr="0076262F">
        <w:rPr>
          <w:rFonts w:ascii="Titillium" w:hAnsi="Titillium"/>
          <w:sz w:val="20"/>
          <w:szCs w:val="20"/>
        </w:rPr>
        <w:t>/06/2022</w:t>
      </w:r>
    </w:p>
    <w:p w14:paraId="20ED3FAE" w14:textId="77777777" w:rsidR="00801748" w:rsidRPr="0041405A" w:rsidRDefault="00801748">
      <w:pPr>
        <w:pStyle w:val="Paragrafoelenco"/>
        <w:spacing w:line="276" w:lineRule="auto"/>
        <w:ind w:left="0" w:firstLine="0"/>
        <w:rPr>
          <w:rFonts w:ascii="Titillium" w:hAnsi="Titillium"/>
          <w:sz w:val="20"/>
          <w:szCs w:val="20"/>
          <w:u w:val="single"/>
        </w:rPr>
      </w:pPr>
    </w:p>
    <w:p w14:paraId="61A6180F" w14:textId="77777777" w:rsidR="00C27B23" w:rsidRPr="0041405A" w:rsidRDefault="0048249A">
      <w:pPr>
        <w:pStyle w:val="Paragrafoelenco"/>
        <w:spacing w:after="0"/>
        <w:ind w:left="0" w:firstLine="0"/>
        <w:rPr>
          <w:rFonts w:ascii="Titillium" w:hAnsi="Titillium"/>
          <w:b/>
          <w:i/>
          <w:sz w:val="20"/>
          <w:szCs w:val="20"/>
        </w:rPr>
      </w:pPr>
      <w:r w:rsidRPr="0041405A">
        <w:rPr>
          <w:rFonts w:ascii="Titillium" w:hAnsi="Titillium"/>
          <w:b/>
          <w:i/>
          <w:sz w:val="20"/>
          <w:szCs w:val="20"/>
        </w:rPr>
        <w:t xml:space="preserve">Estensione della rilevazione (nel </w:t>
      </w:r>
      <w:r w:rsidR="00FC7906" w:rsidRPr="0041405A">
        <w:rPr>
          <w:rFonts w:ascii="Titillium" w:hAnsi="Titillium"/>
          <w:b/>
          <w:i/>
          <w:sz w:val="20"/>
          <w:szCs w:val="20"/>
        </w:rPr>
        <w:t xml:space="preserve">solo </w:t>
      </w:r>
      <w:r w:rsidRPr="0041405A">
        <w:rPr>
          <w:rFonts w:ascii="Titillium" w:hAnsi="Titillium"/>
          <w:b/>
          <w:i/>
          <w:sz w:val="20"/>
          <w:szCs w:val="20"/>
        </w:rPr>
        <w:t>caso di ammin</w:t>
      </w:r>
      <w:r w:rsidR="007A107C" w:rsidRPr="0041405A">
        <w:rPr>
          <w:rFonts w:ascii="Titillium" w:hAnsi="Titillium"/>
          <w:b/>
          <w:i/>
          <w:sz w:val="20"/>
          <w:szCs w:val="20"/>
        </w:rPr>
        <w:t>istrazioni</w:t>
      </w:r>
      <w:r w:rsidR="00FC7906" w:rsidRPr="0041405A">
        <w:rPr>
          <w:rFonts w:ascii="Titillium" w:hAnsi="Titillium"/>
          <w:b/>
          <w:i/>
          <w:sz w:val="20"/>
          <w:szCs w:val="20"/>
        </w:rPr>
        <w:t>/enti</w:t>
      </w:r>
      <w:r w:rsidR="007A107C" w:rsidRPr="0041405A">
        <w:rPr>
          <w:rFonts w:ascii="Titillium" w:hAnsi="Titillium"/>
          <w:b/>
          <w:i/>
          <w:sz w:val="20"/>
          <w:szCs w:val="20"/>
        </w:rPr>
        <w:t xml:space="preserve"> con uffici periferici)</w:t>
      </w:r>
    </w:p>
    <w:p w14:paraId="3BF5EEA9" w14:textId="77777777" w:rsidR="00C27B23" w:rsidRPr="0041405A" w:rsidRDefault="00C27B23">
      <w:pPr>
        <w:pStyle w:val="Paragrafoelenco"/>
        <w:spacing w:after="0"/>
        <w:ind w:left="0" w:firstLine="0"/>
        <w:rPr>
          <w:rFonts w:ascii="Titillium" w:hAnsi="Titillium"/>
          <w:b/>
          <w:sz w:val="20"/>
          <w:szCs w:val="20"/>
          <w:u w:val="single"/>
        </w:rPr>
      </w:pPr>
    </w:p>
    <w:p w14:paraId="1254F188" w14:textId="5720CFF1" w:rsidR="00C27B23" w:rsidRPr="0041405A" w:rsidRDefault="00801748" w:rsidP="00713BFD">
      <w:pPr>
        <w:tabs>
          <w:tab w:val="left" w:pos="0"/>
        </w:tabs>
        <w:spacing w:after="0" w:line="360" w:lineRule="auto"/>
        <w:rPr>
          <w:rFonts w:ascii="Titillium" w:hAnsi="Titillium"/>
          <w:sz w:val="20"/>
          <w:szCs w:val="20"/>
        </w:rPr>
      </w:pPr>
      <w:r>
        <w:rPr>
          <w:rFonts w:ascii="Titillium" w:hAnsi="Titillium"/>
          <w:sz w:val="20"/>
          <w:szCs w:val="20"/>
        </w:rPr>
        <w:t>= = =</w:t>
      </w:r>
    </w:p>
    <w:p w14:paraId="5FC2BAC2" w14:textId="77777777" w:rsidR="00C27B23" w:rsidRPr="0041405A" w:rsidRDefault="00C27B23">
      <w:pPr>
        <w:pStyle w:val="Paragrafoelenco"/>
        <w:spacing w:after="0" w:line="276" w:lineRule="auto"/>
        <w:ind w:left="720" w:firstLine="0"/>
        <w:rPr>
          <w:rFonts w:ascii="Titillium" w:hAnsi="Titillium"/>
          <w:sz w:val="20"/>
          <w:szCs w:val="20"/>
        </w:rPr>
      </w:pPr>
    </w:p>
    <w:p w14:paraId="4C8381D6" w14:textId="77777777" w:rsidR="00C27B23" w:rsidRPr="0041405A" w:rsidRDefault="0048249A">
      <w:pPr>
        <w:pStyle w:val="Paragrafoelenco"/>
        <w:spacing w:line="360" w:lineRule="auto"/>
        <w:ind w:left="0" w:firstLine="0"/>
        <w:rPr>
          <w:rFonts w:ascii="Titillium" w:hAnsi="Titillium"/>
          <w:b/>
          <w:i/>
          <w:sz w:val="20"/>
          <w:szCs w:val="20"/>
        </w:rPr>
      </w:pPr>
      <w:r w:rsidRPr="0041405A">
        <w:rPr>
          <w:rFonts w:ascii="Titillium" w:hAnsi="Titillium"/>
          <w:b/>
          <w:i/>
          <w:sz w:val="20"/>
          <w:szCs w:val="20"/>
        </w:rPr>
        <w:t xml:space="preserve">Procedure e modalità seguite per la rilevazione </w:t>
      </w:r>
    </w:p>
    <w:p w14:paraId="6C18D504" w14:textId="5749C047" w:rsidR="00C27B23" w:rsidRPr="0041405A" w:rsidRDefault="0048249A" w:rsidP="007A107C">
      <w:pPr>
        <w:pStyle w:val="Paragrafoelenco"/>
        <w:spacing w:after="0" w:line="360" w:lineRule="auto"/>
        <w:ind w:left="0" w:firstLine="0"/>
        <w:rPr>
          <w:rFonts w:ascii="Titillium" w:hAnsi="Titillium"/>
          <w:sz w:val="20"/>
          <w:szCs w:val="20"/>
        </w:rPr>
      </w:pPr>
      <w:r w:rsidRPr="0041405A">
        <w:rPr>
          <w:rFonts w:ascii="Titillium" w:hAnsi="Titillium"/>
          <w:sz w:val="20"/>
          <w:szCs w:val="20"/>
        </w:rPr>
        <w:t>Indicare il procedimento e le modalità seguite per condurre la rilevazione</w:t>
      </w:r>
      <w:r w:rsidR="00801748">
        <w:rPr>
          <w:rFonts w:ascii="Titillium" w:hAnsi="Titillium"/>
          <w:sz w:val="20"/>
          <w:szCs w:val="20"/>
        </w:rPr>
        <w:t>:</w:t>
      </w:r>
    </w:p>
    <w:p w14:paraId="1333B4B7" w14:textId="77777777" w:rsidR="00C27B23" w:rsidRPr="0041405A" w:rsidRDefault="0048249A" w:rsidP="007A107C">
      <w:pPr>
        <w:pStyle w:val="Default"/>
        <w:numPr>
          <w:ilvl w:val="0"/>
          <w:numId w:val="3"/>
        </w:numPr>
        <w:tabs>
          <w:tab w:val="left" w:pos="0"/>
        </w:tabs>
        <w:spacing w:line="360" w:lineRule="auto"/>
        <w:jc w:val="both"/>
        <w:rPr>
          <w:rFonts w:ascii="Titillium" w:hAnsi="Titillium"/>
          <w:sz w:val="20"/>
          <w:szCs w:val="20"/>
        </w:rPr>
      </w:pPr>
      <w:r w:rsidRPr="0041405A">
        <w:rPr>
          <w:rFonts w:ascii="Titillium" w:hAnsi="Titillium"/>
          <w:sz w:val="20"/>
          <w:szCs w:val="20"/>
        </w:rPr>
        <w:t>verifica dell’attività svolta dal Responsabile della</w:t>
      </w:r>
      <w:r w:rsidR="007A107C" w:rsidRPr="0041405A">
        <w:rPr>
          <w:rFonts w:ascii="Titillium" w:hAnsi="Titillium"/>
          <w:sz w:val="20"/>
          <w:szCs w:val="20"/>
        </w:rPr>
        <w:t xml:space="preserve"> preve</w:t>
      </w:r>
      <w:r w:rsidR="00713BFD" w:rsidRPr="0041405A">
        <w:rPr>
          <w:rFonts w:ascii="Titillium" w:hAnsi="Titillium"/>
          <w:sz w:val="20"/>
          <w:szCs w:val="20"/>
        </w:rPr>
        <w:t>nzione della corruzione e della</w:t>
      </w:r>
      <w:r w:rsidRPr="0041405A">
        <w:rPr>
          <w:rFonts w:ascii="Titillium" w:hAnsi="Titillium"/>
          <w:sz w:val="20"/>
          <w:szCs w:val="20"/>
        </w:rPr>
        <w:t xml:space="preserve"> trasparenza per riscontrare l’adempimento degli obblighi di pubblicazione;</w:t>
      </w:r>
    </w:p>
    <w:p w14:paraId="41A8902B" w14:textId="77777777" w:rsidR="00C27B23" w:rsidRPr="0041405A" w:rsidRDefault="0048249A" w:rsidP="007A107C">
      <w:pPr>
        <w:pStyle w:val="Default"/>
        <w:numPr>
          <w:ilvl w:val="0"/>
          <w:numId w:val="3"/>
        </w:numPr>
        <w:tabs>
          <w:tab w:val="left" w:pos="0"/>
        </w:tabs>
        <w:spacing w:line="360" w:lineRule="auto"/>
        <w:jc w:val="both"/>
        <w:rPr>
          <w:rFonts w:ascii="Titillium" w:hAnsi="Titillium"/>
          <w:sz w:val="20"/>
          <w:szCs w:val="20"/>
        </w:rPr>
      </w:pPr>
      <w:r w:rsidRPr="0041405A">
        <w:rPr>
          <w:rFonts w:ascii="Titillium" w:hAnsi="Titillium"/>
          <w:sz w:val="20"/>
          <w:szCs w:val="20"/>
        </w:rPr>
        <w:t>esame della documentazione e delle banche dati relative ai dati oggetto di attestazione;</w:t>
      </w:r>
    </w:p>
    <w:p w14:paraId="7AAFAA98" w14:textId="77777777" w:rsidR="00C27B23" w:rsidRPr="0041405A" w:rsidRDefault="0048249A" w:rsidP="007A107C">
      <w:pPr>
        <w:pStyle w:val="Default"/>
        <w:numPr>
          <w:ilvl w:val="0"/>
          <w:numId w:val="3"/>
        </w:numPr>
        <w:tabs>
          <w:tab w:val="left" w:pos="0"/>
        </w:tabs>
        <w:spacing w:line="360" w:lineRule="auto"/>
        <w:jc w:val="both"/>
        <w:rPr>
          <w:rFonts w:ascii="Titillium" w:hAnsi="Titillium"/>
          <w:sz w:val="20"/>
          <w:szCs w:val="20"/>
        </w:rPr>
      </w:pPr>
      <w:r w:rsidRPr="0041405A">
        <w:rPr>
          <w:rFonts w:ascii="Titillium" w:hAnsi="Titillium"/>
          <w:sz w:val="20"/>
          <w:szCs w:val="20"/>
        </w:rPr>
        <w:t>colloqui con i responsabili della trasmissione dei dati;</w:t>
      </w:r>
    </w:p>
    <w:p w14:paraId="4030756A" w14:textId="77777777" w:rsidR="00C27B23" w:rsidRPr="0041405A" w:rsidRDefault="0048249A" w:rsidP="007A107C">
      <w:pPr>
        <w:pStyle w:val="Default"/>
        <w:numPr>
          <w:ilvl w:val="0"/>
          <w:numId w:val="3"/>
        </w:numPr>
        <w:tabs>
          <w:tab w:val="left" w:pos="0"/>
        </w:tabs>
        <w:spacing w:line="360" w:lineRule="auto"/>
        <w:jc w:val="both"/>
        <w:rPr>
          <w:rFonts w:ascii="Titillium" w:hAnsi="Titillium"/>
          <w:sz w:val="20"/>
          <w:szCs w:val="20"/>
        </w:rPr>
      </w:pPr>
      <w:r w:rsidRPr="0041405A">
        <w:rPr>
          <w:rFonts w:ascii="Titillium" w:hAnsi="Titillium"/>
          <w:sz w:val="20"/>
          <w:szCs w:val="20"/>
        </w:rPr>
        <w:t>colloqui con i responsabili della pubblicazione dei dati;</w:t>
      </w:r>
    </w:p>
    <w:p w14:paraId="1E154870" w14:textId="77777777" w:rsidR="00C27B23" w:rsidRPr="0041405A" w:rsidRDefault="0048249A" w:rsidP="007A107C">
      <w:pPr>
        <w:pStyle w:val="Default"/>
        <w:numPr>
          <w:ilvl w:val="0"/>
          <w:numId w:val="3"/>
        </w:numPr>
        <w:tabs>
          <w:tab w:val="left" w:pos="0"/>
        </w:tabs>
        <w:spacing w:line="360" w:lineRule="auto"/>
        <w:jc w:val="both"/>
        <w:rPr>
          <w:rFonts w:ascii="Titillium" w:hAnsi="Titillium"/>
          <w:sz w:val="20"/>
          <w:szCs w:val="20"/>
        </w:rPr>
      </w:pPr>
      <w:r w:rsidRPr="0041405A">
        <w:rPr>
          <w:rFonts w:ascii="Titillium" w:hAnsi="Titillium"/>
          <w:sz w:val="20"/>
          <w:szCs w:val="20"/>
        </w:rPr>
        <w:t xml:space="preserve">verifica </w:t>
      </w:r>
      <w:r w:rsidR="00713BFD" w:rsidRPr="0041405A">
        <w:rPr>
          <w:rFonts w:ascii="Titillium" w:hAnsi="Titillium"/>
          <w:sz w:val="20"/>
          <w:szCs w:val="20"/>
        </w:rPr>
        <w:t xml:space="preserve">diretta </w:t>
      </w:r>
      <w:r w:rsidRPr="0041405A">
        <w:rPr>
          <w:rFonts w:ascii="Titillium" w:hAnsi="Titillium"/>
          <w:sz w:val="20"/>
          <w:szCs w:val="20"/>
        </w:rPr>
        <w:t>sul sito istituzionale, anche attraverso l’utilizzo di supporti informatici</w:t>
      </w:r>
      <w:r w:rsidR="008A0378" w:rsidRPr="0041405A">
        <w:rPr>
          <w:rFonts w:ascii="Titillium" w:hAnsi="Titillium"/>
          <w:sz w:val="20"/>
          <w:szCs w:val="20"/>
        </w:rPr>
        <w:t>.</w:t>
      </w:r>
    </w:p>
    <w:p w14:paraId="3188BDDD" w14:textId="77777777" w:rsidR="00C27B23" w:rsidRPr="0041405A" w:rsidRDefault="00C27B23">
      <w:pPr>
        <w:spacing w:line="360" w:lineRule="auto"/>
        <w:rPr>
          <w:rFonts w:ascii="Titillium" w:hAnsi="Titillium"/>
          <w:sz w:val="20"/>
          <w:szCs w:val="20"/>
          <w:u w:val="single"/>
        </w:rPr>
      </w:pPr>
    </w:p>
    <w:p w14:paraId="65E8A492" w14:textId="77777777" w:rsidR="00C27B23" w:rsidRPr="0041405A" w:rsidRDefault="0048249A">
      <w:pPr>
        <w:spacing w:line="360" w:lineRule="auto"/>
        <w:rPr>
          <w:rFonts w:ascii="Titillium" w:hAnsi="Titillium"/>
          <w:b/>
          <w:i/>
          <w:sz w:val="20"/>
          <w:szCs w:val="20"/>
        </w:rPr>
      </w:pPr>
      <w:r w:rsidRPr="0041405A">
        <w:rPr>
          <w:rFonts w:ascii="Titillium" w:hAnsi="Titillium"/>
          <w:b/>
          <w:i/>
          <w:sz w:val="20"/>
          <w:szCs w:val="20"/>
        </w:rPr>
        <w:t>Aspetti critici riscontrati nel corso della rilevazione</w:t>
      </w:r>
    </w:p>
    <w:p w14:paraId="2CE5CA60" w14:textId="2E586815" w:rsidR="00801748" w:rsidRPr="00922F3B" w:rsidRDefault="00801748" w:rsidP="00801748">
      <w:pPr>
        <w:pStyle w:val="Paragrafoelenco"/>
        <w:spacing w:line="276" w:lineRule="auto"/>
        <w:ind w:left="0" w:firstLine="0"/>
        <w:rPr>
          <w:rFonts w:ascii="Titillium" w:hAnsi="Titillium"/>
          <w:sz w:val="20"/>
          <w:szCs w:val="20"/>
        </w:rPr>
      </w:pPr>
      <w:r>
        <w:rPr>
          <w:rFonts w:ascii="Titillium" w:hAnsi="Titillium"/>
          <w:sz w:val="20"/>
          <w:szCs w:val="20"/>
        </w:rPr>
        <w:t>Si dà atto del notevole</w:t>
      </w:r>
      <w:r w:rsidRPr="00922F3B">
        <w:rPr>
          <w:rFonts w:ascii="Titillium" w:hAnsi="Titillium"/>
          <w:sz w:val="20"/>
          <w:szCs w:val="20"/>
        </w:rPr>
        <w:t xml:space="preserve"> sforzo messo in campo dall'Ente nell'assolvere agli obblighi normativi di cui trattasi, pur nei limiti delle ridottissime risorse umane, tecnologiche e finanziarie a disposizione, e dei discreti risultati ad oggi raggiunti. Restano ancora </w:t>
      </w:r>
      <w:r w:rsidR="00F13034">
        <w:rPr>
          <w:rFonts w:ascii="Titillium" w:hAnsi="Titillium"/>
          <w:sz w:val="20"/>
          <w:szCs w:val="20"/>
        </w:rPr>
        <w:t>talune</w:t>
      </w:r>
      <w:r w:rsidRPr="00922F3B">
        <w:rPr>
          <w:rFonts w:ascii="Titillium" w:hAnsi="Titillium"/>
          <w:sz w:val="20"/>
          <w:szCs w:val="20"/>
        </w:rPr>
        <w:t xml:space="preserve"> criticità che si </w:t>
      </w:r>
      <w:r w:rsidR="00F13034">
        <w:rPr>
          <w:rFonts w:ascii="Titillium" w:hAnsi="Titillium"/>
          <w:sz w:val="20"/>
          <w:szCs w:val="20"/>
        </w:rPr>
        <w:t>auspica</w:t>
      </w:r>
      <w:r w:rsidRPr="00922F3B">
        <w:rPr>
          <w:rFonts w:ascii="Titillium" w:hAnsi="Titillium"/>
          <w:sz w:val="20"/>
          <w:szCs w:val="20"/>
        </w:rPr>
        <w:t xml:space="preserve"> possano essere risolte in tempi ragionevoli, tenuto anche conto del fatto che il loro superamento esige l'adozione di procedure complesse ed onerose quali l'implementazione degli applicativi informatici in uso agli Uffici</w:t>
      </w:r>
      <w:r>
        <w:rPr>
          <w:rFonts w:ascii="Titillium" w:hAnsi="Titillium"/>
          <w:sz w:val="20"/>
          <w:szCs w:val="20"/>
        </w:rPr>
        <w:t>.</w:t>
      </w:r>
    </w:p>
    <w:p w14:paraId="3FF6B5F8" w14:textId="77777777" w:rsidR="008A0378" w:rsidRPr="0041405A" w:rsidRDefault="008A0378">
      <w:pPr>
        <w:spacing w:line="360" w:lineRule="auto"/>
        <w:rPr>
          <w:rFonts w:ascii="Titillium" w:hAnsi="Titillium"/>
          <w:b/>
          <w:sz w:val="20"/>
          <w:szCs w:val="20"/>
          <w:u w:val="single"/>
        </w:rPr>
      </w:pPr>
    </w:p>
    <w:p w14:paraId="76AFCA8D" w14:textId="25FC0BE5" w:rsidR="00C27B23" w:rsidRPr="00801748" w:rsidRDefault="0048249A">
      <w:pPr>
        <w:spacing w:line="360" w:lineRule="auto"/>
        <w:rPr>
          <w:rFonts w:ascii="Titillium" w:hAnsi="Titillium"/>
          <w:b/>
          <w:i/>
          <w:sz w:val="20"/>
          <w:szCs w:val="20"/>
        </w:rPr>
      </w:pPr>
      <w:r w:rsidRPr="00801748">
        <w:rPr>
          <w:rFonts w:ascii="Titillium" w:hAnsi="Titillium"/>
          <w:b/>
          <w:i/>
          <w:sz w:val="20"/>
          <w:szCs w:val="20"/>
        </w:rPr>
        <w:t>Eventuale documentazione da allegare</w:t>
      </w:r>
    </w:p>
    <w:p w14:paraId="516110A1" w14:textId="49360513" w:rsidR="00801748" w:rsidRPr="00801748" w:rsidRDefault="00801748">
      <w:pPr>
        <w:spacing w:line="360" w:lineRule="auto"/>
        <w:rPr>
          <w:rFonts w:ascii="Titillium" w:hAnsi="Titillium"/>
          <w:bCs/>
          <w:iCs/>
          <w:sz w:val="20"/>
          <w:szCs w:val="20"/>
        </w:rPr>
      </w:pPr>
      <w:r w:rsidRPr="00801748">
        <w:rPr>
          <w:rFonts w:ascii="Titillium" w:hAnsi="Titillium"/>
          <w:bCs/>
          <w:iCs/>
          <w:sz w:val="20"/>
          <w:szCs w:val="20"/>
        </w:rPr>
        <w:t>= = =</w:t>
      </w:r>
    </w:p>
    <w:sectPr w:rsidR="00801748" w:rsidRPr="00801748">
      <w:headerReference w:type="even" r:id="rId7"/>
      <w:headerReference w:type="default" r:id="rId8"/>
      <w:footerReference w:type="even" r:id="rId9"/>
      <w:footerReference w:type="default" r:id="rId10"/>
      <w:headerReference w:type="first" r:id="rId11"/>
      <w:footerReference w:type="first" r:id="rId12"/>
      <w:pgSz w:w="11906" w:h="16838"/>
      <w:pgMar w:top="1417" w:right="1134" w:bottom="708" w:left="1134" w:header="708"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DFA1" w14:textId="77777777" w:rsidR="004B686D" w:rsidRDefault="004B686D">
      <w:pPr>
        <w:spacing w:after="0" w:line="240" w:lineRule="auto"/>
      </w:pPr>
      <w:r>
        <w:separator/>
      </w:r>
    </w:p>
  </w:endnote>
  <w:endnote w:type="continuationSeparator" w:id="0">
    <w:p w14:paraId="36365528" w14:textId="77777777" w:rsidR="004B686D" w:rsidRDefault="004B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3876" w14:textId="77777777" w:rsidR="00257242" w:rsidRDefault="0025724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7171" w14:textId="77777777" w:rsidR="00257242" w:rsidRDefault="002572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A0F5" w14:textId="77777777" w:rsidR="00257242" w:rsidRDefault="002572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3C4F" w14:textId="77777777" w:rsidR="004B686D" w:rsidRDefault="004B686D">
      <w:pPr>
        <w:spacing w:after="0" w:line="240" w:lineRule="auto"/>
      </w:pPr>
      <w:r>
        <w:separator/>
      </w:r>
    </w:p>
  </w:footnote>
  <w:footnote w:type="continuationSeparator" w:id="0">
    <w:p w14:paraId="281189CB" w14:textId="77777777" w:rsidR="004B686D" w:rsidRDefault="004B6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B132" w14:textId="77777777" w:rsidR="00257242" w:rsidRDefault="002572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8686" w14:textId="77777777" w:rsidR="0085206C" w:rsidRDefault="0085206C" w:rsidP="006E496C">
    <w:pPr>
      <w:pStyle w:val="Intestazione"/>
      <w:jc w:val="right"/>
      <w:rPr>
        <w:rFonts w:ascii="Garamond" w:hAnsi="Garamond"/>
        <w:b/>
      </w:rPr>
    </w:pPr>
    <w:r>
      <w:rPr>
        <w:noProof/>
        <w:lang w:eastAsia="it-IT"/>
      </w:rPr>
      <w:drawing>
        <wp:anchor distT="0" distB="0" distL="114300" distR="114300" simplePos="0" relativeHeight="251657728" behindDoc="0" locked="0" layoutInCell="1" allowOverlap="1" wp14:anchorId="3910B69A" wp14:editId="5139F707">
          <wp:simplePos x="0" y="0"/>
          <wp:positionH relativeFrom="margin">
            <wp:posOffset>-271780</wp:posOffset>
          </wp:positionH>
          <wp:positionV relativeFrom="topMargin">
            <wp:posOffset>453390</wp:posOffset>
          </wp:positionV>
          <wp:extent cx="2879725" cy="341630"/>
          <wp:effectExtent l="0" t="0" r="0" b="127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725" cy="34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688BC" w14:textId="77777777" w:rsidR="0085206C" w:rsidRDefault="0085206C" w:rsidP="006E496C">
    <w:pPr>
      <w:pStyle w:val="Intestazione"/>
      <w:jc w:val="right"/>
      <w:rPr>
        <w:rFonts w:ascii="Garamond" w:hAnsi="Garamond"/>
        <w:b/>
      </w:rPr>
    </w:pPr>
  </w:p>
  <w:p w14:paraId="6A388E21" w14:textId="77777777" w:rsidR="0085206C" w:rsidRDefault="0085206C" w:rsidP="0085206C">
    <w:pPr>
      <w:pStyle w:val="Intestazione"/>
      <w:tabs>
        <w:tab w:val="left" w:pos="3878"/>
      </w:tabs>
      <w:rPr>
        <w:rFonts w:ascii="Garamond" w:hAnsi="Garamond"/>
        <w:b/>
      </w:rPr>
    </w:pPr>
    <w:r>
      <w:rPr>
        <w:rFonts w:ascii="Garamond" w:hAnsi="Garamond"/>
        <w:b/>
      </w:rPr>
      <w:tab/>
    </w:r>
    <w:r>
      <w:rPr>
        <w:rFonts w:ascii="Garamond" w:hAnsi="Garamond"/>
        <w:b/>
      </w:rPr>
      <w:tab/>
    </w:r>
  </w:p>
  <w:p w14:paraId="16B16F2B" w14:textId="77777777" w:rsidR="00C27B23" w:rsidRPr="000F2C0E" w:rsidRDefault="0048249A" w:rsidP="006E496C">
    <w:pPr>
      <w:pStyle w:val="Intestazione"/>
      <w:jc w:val="right"/>
      <w:rPr>
        <w:rFonts w:ascii="Titillium" w:hAnsi="Titillium" w:cs="Times New Roman"/>
        <w:b/>
        <w:sz w:val="20"/>
        <w:szCs w:val="20"/>
      </w:rPr>
    </w:pPr>
    <w:r w:rsidRPr="000F2C0E">
      <w:rPr>
        <w:rFonts w:ascii="Titillium" w:hAnsi="Titillium"/>
        <w:b/>
        <w:sz w:val="20"/>
        <w:szCs w:val="20"/>
      </w:rPr>
      <w:t xml:space="preserve">Allegato 3 alla </w:t>
    </w:r>
    <w:r w:rsidRPr="000F2C0E">
      <w:rPr>
        <w:rFonts w:ascii="Titillium" w:hAnsi="Titillium" w:cs="Times New Roman"/>
        <w:b/>
        <w:sz w:val="20"/>
        <w:szCs w:val="20"/>
      </w:rPr>
      <w:t>delibera</w:t>
    </w:r>
    <w:r w:rsidR="004833D5" w:rsidRPr="000F2C0E">
      <w:rPr>
        <w:rFonts w:ascii="Titillium" w:hAnsi="Titillium" w:cs="Times New Roman"/>
        <w:b/>
        <w:sz w:val="20"/>
        <w:szCs w:val="20"/>
      </w:rPr>
      <w:t xml:space="preserve"> ANAC</w:t>
    </w:r>
    <w:r w:rsidRPr="000F2C0E">
      <w:rPr>
        <w:rFonts w:ascii="Titillium" w:hAnsi="Titillium" w:cs="Times New Roman"/>
        <w:b/>
        <w:sz w:val="20"/>
        <w:szCs w:val="20"/>
      </w:rPr>
      <w:t xml:space="preserve"> n. </w:t>
    </w:r>
    <w:r w:rsidR="00506EFE">
      <w:rPr>
        <w:rFonts w:ascii="Titillium" w:hAnsi="Titillium" w:cs="Times New Roman"/>
        <w:b/>
        <w:sz w:val="20"/>
        <w:szCs w:val="20"/>
      </w:rPr>
      <w:t>201</w:t>
    </w:r>
    <w:r w:rsidRPr="000F2C0E">
      <w:rPr>
        <w:rFonts w:ascii="Titillium" w:hAnsi="Titillium" w:cs="Times New Roman"/>
        <w:b/>
        <w:sz w:val="20"/>
        <w:szCs w:val="20"/>
      </w:rPr>
      <w:t>/</w:t>
    </w:r>
    <w:r w:rsidR="009C05D1" w:rsidRPr="000F2C0E">
      <w:rPr>
        <w:rFonts w:ascii="Titillium" w:hAnsi="Titillium" w:cs="Times New Roman"/>
        <w:b/>
        <w:sz w:val="20"/>
        <w:szCs w:val="20"/>
      </w:rPr>
      <w:t>202</w:t>
    </w:r>
    <w:r w:rsidR="00257242">
      <w:rPr>
        <w:rFonts w:ascii="Titillium" w:hAnsi="Titillium" w:cs="Times New Roman"/>
        <w:b/>
        <w:sz w:val="20"/>
        <w:szCs w:val="20"/>
      </w:rPr>
      <w:t>2</w:t>
    </w:r>
  </w:p>
  <w:p w14:paraId="30027CAB" w14:textId="77777777" w:rsidR="0085206C" w:rsidRDefault="0085206C" w:rsidP="006E496C">
    <w:pPr>
      <w:pStyle w:val="Intestazione"/>
      <w:jc w:val="right"/>
      <w:rPr>
        <w:rFonts w:ascii="Garamond" w:hAnsi="Garamond" w:cs="Times New Roman"/>
        <w:b/>
      </w:rPr>
    </w:pPr>
  </w:p>
  <w:p w14:paraId="6A7580DD" w14:textId="77777777" w:rsidR="0085206C" w:rsidRPr="006E496C" w:rsidRDefault="0085206C" w:rsidP="006E496C">
    <w:pPr>
      <w:pStyle w:val="Intestazione"/>
      <w:jc w:val="right"/>
      <w:rPr>
        <w:rFonts w:ascii="Garamond" w:hAnsi="Garamond" w:cs="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F2C3" w14:textId="77777777" w:rsidR="00257242" w:rsidRDefault="002572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2D7"/>
    <w:multiLevelType w:val="multilevel"/>
    <w:tmpl w:val="56243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3E981BA1"/>
    <w:multiLevelType w:val="multilevel"/>
    <w:tmpl w:val="42B6B57E"/>
    <w:lvl w:ilvl="0">
      <w:start w:val="1"/>
      <w:numFmt w:val="none"/>
      <w:pStyle w:val="Titol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B274FF9"/>
    <w:multiLevelType w:val="hybridMultilevel"/>
    <w:tmpl w:val="4CD022FC"/>
    <w:lvl w:ilvl="0" w:tplc="77CA1D2A">
      <w:start w:val="3"/>
      <w:numFmt w:val="bullet"/>
      <w:lvlText w:val="-"/>
      <w:lvlJc w:val="left"/>
      <w:pPr>
        <w:ind w:left="720" w:hanging="360"/>
      </w:pPr>
      <w:rPr>
        <w:rFonts w:ascii="Garamond" w:eastAsia="Times New Roman" w:hAnsi="Garamond"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008796">
    <w:abstractNumId w:val="1"/>
  </w:num>
  <w:num w:numId="2" w16cid:durableId="1095444993">
    <w:abstractNumId w:val="0"/>
  </w:num>
  <w:num w:numId="3" w16cid:durableId="381516368">
    <w:abstractNumId w:val="2"/>
  </w:num>
  <w:num w:numId="4" w16cid:durableId="1080518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23"/>
    <w:rsid w:val="00032F0F"/>
    <w:rsid w:val="00040F20"/>
    <w:rsid w:val="000F2C0E"/>
    <w:rsid w:val="0016468A"/>
    <w:rsid w:val="0024134D"/>
    <w:rsid w:val="00257242"/>
    <w:rsid w:val="002C572E"/>
    <w:rsid w:val="00343F6A"/>
    <w:rsid w:val="003E1CF5"/>
    <w:rsid w:val="003F510D"/>
    <w:rsid w:val="0041405A"/>
    <w:rsid w:val="00416AD0"/>
    <w:rsid w:val="0048249A"/>
    <w:rsid w:val="004833D5"/>
    <w:rsid w:val="004B686D"/>
    <w:rsid w:val="004F18CD"/>
    <w:rsid w:val="00506EFE"/>
    <w:rsid w:val="0060106A"/>
    <w:rsid w:val="006E496C"/>
    <w:rsid w:val="007052EA"/>
    <w:rsid w:val="00713BFD"/>
    <w:rsid w:val="0076262F"/>
    <w:rsid w:val="007A107C"/>
    <w:rsid w:val="00801748"/>
    <w:rsid w:val="00837860"/>
    <w:rsid w:val="0085206C"/>
    <w:rsid w:val="00861FE1"/>
    <w:rsid w:val="008A0378"/>
    <w:rsid w:val="00914EDB"/>
    <w:rsid w:val="00955140"/>
    <w:rsid w:val="009A5646"/>
    <w:rsid w:val="009C05D1"/>
    <w:rsid w:val="009C6FAC"/>
    <w:rsid w:val="00A52DF7"/>
    <w:rsid w:val="00AF790D"/>
    <w:rsid w:val="00C27B23"/>
    <w:rsid w:val="00C32BE7"/>
    <w:rsid w:val="00CD0EF8"/>
    <w:rsid w:val="00D27496"/>
    <w:rsid w:val="00F13034"/>
    <w:rsid w:val="00FC7906"/>
    <w:rsid w:val="00FF2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9EFA"/>
  <w15:docId w15:val="{56CB1834-868F-432B-9D79-8EB178F1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2"/>
      <w:sz w:val="14"/>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itoloCarattere">
    <w:name w:val="Titolo Carattere"/>
    <w:basedOn w:val="Carpredefinitoparagrafo"/>
    <w:rPr>
      <w:rFonts w:ascii="Times New Roman" w:eastAsia="Times New Roman" w:hAnsi="Times New Roman" w:cs="Times New Roman"/>
      <w:b/>
      <w:bCs/>
      <w:i/>
      <w:sz w:val="36"/>
      <w:szCs w:val="32"/>
      <w:lang w:eastAsia="ar-SA"/>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WWCharLFO13LVL1">
    <w:name w:val="WW_CharLFO13LVL1"/>
    <w:rPr>
      <w:rFonts w:ascii="Times New Roman" w:eastAsia="Times New Roman" w:hAnsi="Times New Roman" w:cs="Times New Roman"/>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rPr>
  </w:style>
  <w:style w:type="character" w:customStyle="1" w:styleId="WWCharLFO13LVL4">
    <w:name w:val="WW_CharLFO13LVL4"/>
    <w:rPr>
      <w:rFonts w:ascii="Symbol" w:hAnsi="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rPr>
  </w:style>
  <w:style w:type="character" w:customStyle="1" w:styleId="WWCharLFO13LVL7">
    <w:name w:val="WW_CharLFO13LVL7"/>
    <w:rPr>
      <w:rFonts w:ascii="Symbol" w:hAnsi="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rPr>
  </w:style>
  <w:style w:type="character" w:customStyle="1" w:styleId="WWCharLFO15LVL1">
    <w:name w:val="WW_CharLFO15LVL1"/>
    <w:rPr>
      <w:rFonts w:ascii="Times New Roman" w:eastAsia="Calibri" w:hAnsi="Times New Roman" w:cs="Times New Roman"/>
      <w:sz w:val="20"/>
    </w:rPr>
  </w:style>
  <w:style w:type="character" w:customStyle="1" w:styleId="WWCharLFO15LVL2">
    <w:name w:val="WW_CharLFO15LVL2"/>
    <w:rPr>
      <w:rFonts w:ascii="Courier New" w:hAnsi="Courier New" w:cs="Courier New"/>
    </w:rPr>
  </w:style>
  <w:style w:type="character" w:customStyle="1" w:styleId="WWCharLFO15LVL3">
    <w:name w:val="WW_CharLFO15LVL3"/>
    <w:rPr>
      <w:rFonts w:ascii="Wingdings" w:hAnsi="Wingdings"/>
    </w:rPr>
  </w:style>
  <w:style w:type="character" w:customStyle="1" w:styleId="WWCharLFO15LVL4">
    <w:name w:val="WW_CharLFO15LVL4"/>
    <w:rPr>
      <w:rFonts w:ascii="Symbol" w:hAnsi="Symbol"/>
    </w:rPr>
  </w:style>
  <w:style w:type="character" w:customStyle="1" w:styleId="WWCharLFO15LVL5">
    <w:name w:val="WW_CharLFO15LVL5"/>
    <w:rPr>
      <w:rFonts w:ascii="Courier New" w:hAnsi="Courier New" w:cs="Courier New"/>
    </w:rPr>
  </w:style>
  <w:style w:type="character" w:customStyle="1" w:styleId="WWCharLFO15LVL6">
    <w:name w:val="WW_CharLFO15LVL6"/>
    <w:rPr>
      <w:rFonts w:ascii="Wingdings" w:hAnsi="Wingdings"/>
    </w:rPr>
  </w:style>
  <w:style w:type="character" w:customStyle="1" w:styleId="WWCharLFO15LVL7">
    <w:name w:val="WW_CharLFO15LVL7"/>
    <w:rPr>
      <w:rFonts w:ascii="Symbol" w:hAnsi="Symbol"/>
    </w:rPr>
  </w:style>
  <w:style w:type="character" w:customStyle="1" w:styleId="WWCharLFO15LVL8">
    <w:name w:val="WW_CharLFO15LVL8"/>
    <w:rPr>
      <w:rFonts w:ascii="Courier New" w:hAnsi="Courier New" w:cs="Courier New"/>
    </w:rPr>
  </w:style>
  <w:style w:type="character" w:customStyle="1" w:styleId="WWCharLFO15LVL9">
    <w:name w:val="WW_CharLFO15LVL9"/>
    <w:rPr>
      <w:rFonts w:ascii="Wingdings" w:hAnsi="Wingdings"/>
    </w:rPr>
  </w:style>
  <w:style w:type="character" w:customStyle="1" w:styleId="Caratteredellanota">
    <w:name w:val="Carattere della nota"/>
  </w:style>
  <w:style w:type="paragraph" w:styleId="Testonotaapidipagina">
    <w:name w:val="footnote text"/>
    <w:basedOn w:val="Normale"/>
  </w:style>
  <w:style w:type="paragraph" w:styleId="Paragrafoelenco">
    <w:name w:val="List Paragraph"/>
    <w:basedOn w:val="Normale"/>
    <w:uiPriority w:val="99"/>
    <w:qFormat/>
    <w:pPr>
      <w:ind w:left="357" w:hanging="357"/>
    </w:pPr>
  </w:style>
  <w:style w:type="paragraph" w:styleId="Titolo">
    <w:name w:val="Title"/>
    <w:basedOn w:val="Normale"/>
    <w:next w:val="Normale"/>
    <w:autoRedefine/>
    <w:uiPriority w:val="99"/>
    <w:qFormat/>
    <w:pPr>
      <w:numPr>
        <w:numId w:val="1"/>
      </w:numPr>
      <w:spacing w:before="240" w:after="240"/>
      <w:jc w:val="center"/>
      <w:outlineLvl w:val="0"/>
    </w:pPr>
    <w:rPr>
      <w:rFonts w:cs="Times New Roman"/>
      <w:b/>
      <w:bCs/>
      <w:i/>
      <w:sz w:val="36"/>
      <w:szCs w:val="32"/>
    </w:rPr>
  </w:style>
  <w:style w:type="paragraph" w:customStyle="1" w:styleId="Corpodeltesto">
    <w:name w:val="Corpo del testo"/>
    <w:basedOn w:val="Normale"/>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customStyle="1" w:styleId="Default">
    <w:name w:val="Default"/>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1330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i.siciliani</dc:creator>
  <cp:lastModifiedBy>Tullio Cha</cp:lastModifiedBy>
  <cp:revision>6</cp:revision>
  <cp:lastPrinted>2018-02-28T15:30:00Z</cp:lastPrinted>
  <dcterms:created xsi:type="dcterms:W3CDTF">2022-05-10T10:28:00Z</dcterms:created>
  <dcterms:modified xsi:type="dcterms:W3CDTF">2022-06-29T14:12:00Z</dcterms:modified>
</cp:coreProperties>
</file>